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E118" w14:textId="77777777" w:rsidR="00AA4499" w:rsidRPr="00AA4499" w:rsidRDefault="00AA4499" w:rsidP="00AA4499">
      <w:pPr>
        <w:shd w:val="clear" w:color="auto" w:fill="FFFFFF"/>
        <w:spacing w:after="100" w:afterAutospacing="1"/>
        <w:jc w:val="center"/>
        <w:outlineLvl w:val="4"/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</w:pPr>
      <w:r w:rsidRPr="00AA4499"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  <w:t>ПАМЯТКА ДЛЯ РОДИТЕЛЕЙ ОБ ИНФОРМАЦИОННОЙ БЕЗОПАСНОСТИ ДЕТЕЙ</w:t>
      </w:r>
    </w:p>
    <w:p w14:paraId="68B340DD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(или) развитию. </w:t>
      </w:r>
      <w:proofErr w:type="gramStart"/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Согласно данному закону</w:t>
      </w:r>
      <w:proofErr w:type="gramEnd"/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"информационная безопасность детей" </w:t>
      </w:r>
      <w:proofErr w:type="gramStart"/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это</w:t>
      </w:r>
      <w:proofErr w:type="gramEnd"/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14:paraId="3FCC54BF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силу Федерального закона N 436-ФЗ информацией, причиняющей вред здоровью и (или) развитию детей, является:</w:t>
      </w:r>
    </w:p>
    <w:p w14:paraId="1CDC03E6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1. информация, запрещенная для распространения среди детей;</w:t>
      </w:r>
    </w:p>
    <w:p w14:paraId="3F8E403C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 информация, распространение которой ограничено среди детей определенных возрастных категорий.</w:t>
      </w:r>
    </w:p>
    <w:p w14:paraId="4F4301AE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3. К информации, запрещенной для распространения среди детей, относится:</w:t>
      </w:r>
    </w:p>
    <w:p w14:paraId="58A45FC7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14:paraId="34FB40E4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14:paraId="25F53E60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14:paraId="4C66B0A8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7. отрицающая семейные ценности и формирующая неуважение к родителям и (или) другим членам семьи;</w:t>
      </w:r>
    </w:p>
    <w:p w14:paraId="1A93F753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8. оправдывающая противоправное поведение;</w:t>
      </w:r>
    </w:p>
    <w:p w14:paraId="3983D9E9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9. содержащая нецензурную брань;</w:t>
      </w:r>
    </w:p>
    <w:p w14:paraId="124B8050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10. содержащая информацию порнографического характера.</w:t>
      </w:r>
    </w:p>
    <w:p w14:paraId="7586272B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 информации, распространение которой ограничено среди детей определенного возраста, относится:</w:t>
      </w:r>
    </w:p>
    <w:p w14:paraId="36999FF9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14:paraId="3E9AD6F8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14:paraId="5535B4D2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3. представляемая в виде изображения или описания половых отношений между мужчиной и женщиной;</w:t>
      </w:r>
    </w:p>
    <w:p w14:paraId="0866B622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4. содержащая бранные слова и выражения, не относящиеся к нецензурной брани.</w:t>
      </w:r>
    </w:p>
    <w:p w14:paraId="6765E1A8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14:paraId="4A8EE9C9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Общие правила для родителей</w:t>
      </w:r>
    </w:p>
    <w:p w14:paraId="67AB923E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14:paraId="3C1646A4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2. Если Ваш ребенок имеет аккаунт на одном из социальных сервисов </w:t>
      </w:r>
      <w:r w:rsidRPr="00AA4499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(LiveJournal, blogs.mail.ru, vkontakte.ru и т.п.),</w:t>
      </w: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внимательно изучите, какую информацию помещают его участники в своих профилях и блогах, включая фотографии и видео.</w:t>
      </w:r>
    </w:p>
    <w:p w14:paraId="3DA0CD8E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</w:t>
      </w:r>
    </w:p>
    <w:p w14:paraId="5CFAA177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14:paraId="16114D1E" w14:textId="77777777" w:rsidR="00AA4499" w:rsidRPr="00AA4499" w:rsidRDefault="00AA4499" w:rsidP="00AA4499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A449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14:paraId="504B90B4" w14:textId="77777777" w:rsidR="00F12C76" w:rsidRDefault="00F12C76" w:rsidP="00AA4499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5A"/>
    <w:rsid w:val="002B39B7"/>
    <w:rsid w:val="006C0B77"/>
    <w:rsid w:val="008242FF"/>
    <w:rsid w:val="00870751"/>
    <w:rsid w:val="00922C48"/>
    <w:rsid w:val="00A31369"/>
    <w:rsid w:val="00AA4499"/>
    <w:rsid w:val="00AB7FCD"/>
    <w:rsid w:val="00B915B7"/>
    <w:rsid w:val="00EA59DF"/>
    <w:rsid w:val="00EE4070"/>
    <w:rsid w:val="00F12C76"/>
    <w:rsid w:val="00F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A0D40-AA33-4FC8-A570-5264D3DF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2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7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7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7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7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7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7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7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75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A275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A275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A275A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A275A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A275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FA275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FA275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FA275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FA27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275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FA27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275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FA2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275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FA27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27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2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275A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FA2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2025-04-04T09:09:00Z</dcterms:created>
  <dcterms:modified xsi:type="dcterms:W3CDTF">2025-04-04T09:09:00Z</dcterms:modified>
</cp:coreProperties>
</file>